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43C2F827"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480A6E">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B07A3E" w:rsidRDefault="000464DA" w:rsidP="000464DA">
      <w:pPr>
        <w:pStyle w:val="NoSpacing"/>
        <w:spacing w:before="0"/>
        <w:rPr>
          <w:i/>
          <w:iCs/>
          <w:sz w:val="15"/>
          <w:szCs w:val="15"/>
        </w:rPr>
      </w:pPr>
      <w:r w:rsidRPr="00B07A3E">
        <w:rPr>
          <w:i/>
          <w:iCs/>
          <w:sz w:val="15"/>
          <w:szCs w:val="15"/>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14AFB2A"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B07A3E" w:rsidRDefault="00666BE6" w:rsidP="00666BE6">
      <w:pPr>
        <w:pStyle w:val="NoSpacing"/>
        <w:spacing w:before="0"/>
        <w:rPr>
          <w:i/>
          <w:iCs/>
          <w:sz w:val="15"/>
          <w:szCs w:val="15"/>
        </w:rPr>
      </w:pPr>
      <w:r w:rsidRPr="00B07A3E">
        <w:rPr>
          <w:i/>
          <w:iCs/>
          <w:sz w:val="15"/>
          <w:szCs w:val="15"/>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DA2419">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3C998F79" w14:textId="77777777" w:rsidR="00DA313B" w:rsidRPr="00DA2419" w:rsidRDefault="00DA313B" w:rsidP="00DA2419">
      <w:pPr>
        <w:pStyle w:val="Heading1"/>
        <w:spacing w:before="0"/>
        <w:jc w:val="center"/>
        <w:rPr>
          <w:b/>
          <w:bCs/>
          <w:sz w:val="16"/>
          <w:szCs w:val="16"/>
        </w:rPr>
      </w:pPr>
      <w:r w:rsidRPr="00DA2419">
        <w:rPr>
          <w:b/>
          <w:bCs/>
          <w:sz w:val="16"/>
          <w:szCs w:val="16"/>
        </w:rPr>
        <w:t>Key</w:t>
      </w:r>
    </w:p>
    <w:p w14:paraId="6A21E31B" w14:textId="77777777" w:rsidR="00DA313B" w:rsidRPr="00A202A3" w:rsidRDefault="00DA313B" w:rsidP="00DA313B">
      <w:pPr>
        <w:pStyle w:val="NoSpacing"/>
        <w:spacing w:before="0"/>
        <w:rPr>
          <w:sz w:val="16"/>
          <w:szCs w:val="16"/>
        </w:rPr>
      </w:pPr>
      <w:r w:rsidRPr="00A202A3">
        <w:rPr>
          <w:sz w:val="16"/>
          <w:szCs w:val="16"/>
        </w:rPr>
        <w:t>● = General Education Core course</w:t>
      </w:r>
    </w:p>
    <w:p w14:paraId="31126DF5" w14:textId="77777777" w:rsidR="00DA313B" w:rsidRPr="00A202A3" w:rsidRDefault="00DA313B" w:rsidP="00DA313B">
      <w:pPr>
        <w:pStyle w:val="NoSpacing"/>
        <w:spacing w:before="0"/>
        <w:rPr>
          <w:sz w:val="16"/>
          <w:szCs w:val="16"/>
        </w:rPr>
      </w:pPr>
      <w:r w:rsidRPr="00A202A3">
        <w:rPr>
          <w:sz w:val="16"/>
          <w:szCs w:val="16"/>
        </w:rPr>
        <w:t>+ = Prerequisite or co-requisite required</w:t>
      </w:r>
    </w:p>
    <w:p w14:paraId="2B11201B" w14:textId="77777777" w:rsidR="00DA313B" w:rsidRDefault="00DA313B" w:rsidP="00DA313B">
      <w:pPr>
        <w:pStyle w:val="NoSpacing"/>
        <w:spacing w:before="0"/>
        <w:rPr>
          <w:sz w:val="16"/>
          <w:szCs w:val="16"/>
        </w:rPr>
      </w:pPr>
      <w:r w:rsidRPr="00A202A3">
        <w:rPr>
          <w:sz w:val="16"/>
          <w:szCs w:val="16"/>
        </w:rPr>
        <w:t>* = Minimum grade of “C” required</w:t>
      </w:r>
    </w:p>
    <w:p w14:paraId="4B0965F4" w14:textId="77777777" w:rsidR="00DA313B" w:rsidRPr="00BC6AE3" w:rsidRDefault="00DA313B" w:rsidP="00DA313B">
      <w:pPr>
        <w:pStyle w:val="NoSpacing"/>
        <w:spacing w:before="0"/>
        <w:rPr>
          <w:sz w:val="16"/>
          <w:szCs w:val="16"/>
        </w:rPr>
      </w:pPr>
      <w:r w:rsidRPr="00A202A3">
        <w:rPr>
          <w:sz w:val="16"/>
          <w:szCs w:val="16"/>
        </w:rPr>
        <w:t>@= Course meets Civic Literacy Requirement</w:t>
      </w:r>
    </w:p>
    <w:p w14:paraId="7F4A3447" w14:textId="63F99139" w:rsidR="00B256A9" w:rsidRPr="00955979" w:rsidRDefault="001A38EB"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(24 Hours)</w:t>
      </w:r>
    </w:p>
    <w:p w14:paraId="0713862F" w14:textId="63510D54" w:rsidR="0014773B" w:rsidRPr="00480A6E" w:rsidRDefault="000D77BD" w:rsidP="00C90199">
      <w:pPr>
        <w:pStyle w:val="NoSpacing"/>
        <w:spacing w:before="0"/>
        <w:rPr>
          <w:sz w:val="16"/>
          <w:szCs w:val="16"/>
        </w:rPr>
      </w:pPr>
      <w:r w:rsidRPr="00480A6E">
        <w:rPr>
          <w:sz w:val="16"/>
          <w:szCs w:val="16"/>
        </w:rPr>
        <w:t xml:space="preserve">The Legal Studies transfer track leads to an Associate of Arts degree, which constitutes the first two years of a Bachelor of Arts or Bachelor of Science degree (a four-year degree). Students may complete the remaining two years of a </w:t>
      </w:r>
      <w:r w:rsidR="00480A6E" w:rsidRPr="00480A6E">
        <w:rPr>
          <w:sz w:val="16"/>
          <w:szCs w:val="16"/>
        </w:rPr>
        <w:t>four-year</w:t>
      </w:r>
      <w:r w:rsidRPr="00480A6E">
        <w:rPr>
          <w:sz w:val="16"/>
          <w:szCs w:val="16"/>
        </w:rPr>
        <w:t xml:space="preserve"> degree at Florida State University’s Panama City campus or at several of Florida’s major universities. The purpose of this track is to prepare students to continue their educational pursuits which lead to careers in federal law enforcement (Federal Bureau of Investigation; Drug Enforcement Administration; U.S. Marshall’s Service; Bureau of Alcohol, Tobacco and Firearms; Immigration &amp; Naturalization Service; Internal Revenue Service; U.S. Postal Service and the Central Intelligence Agency), as well as careers as prosecuting attorneys, defense attorneys, judges, court administrators, probation and parole officers, and juvenile court case workers. </w:t>
      </w:r>
    </w:p>
    <w:p w14:paraId="646B3F6E" w14:textId="77777777" w:rsidR="00484595" w:rsidRDefault="00484595" w:rsidP="00C90199">
      <w:pPr>
        <w:pStyle w:val="NoSpacing"/>
        <w:spacing w:before="0"/>
        <w:rPr>
          <w:sz w:val="14"/>
          <w:szCs w:val="14"/>
        </w:rPr>
      </w:pPr>
    </w:p>
    <w:p w14:paraId="78104AB8" w14:textId="61D0171C" w:rsidR="00C90199" w:rsidRPr="00C90199" w:rsidRDefault="00C90199" w:rsidP="00C90199">
      <w:pPr>
        <w:pStyle w:val="NoSpacing"/>
        <w:spacing w:before="0"/>
        <w:rPr>
          <w:b/>
          <w:bCs/>
          <w:i/>
          <w:iCs/>
          <w:sz w:val="16"/>
          <w:szCs w:val="16"/>
        </w:rPr>
      </w:pPr>
      <w:r w:rsidRPr="00C90199">
        <w:rPr>
          <w:b/>
          <w:bCs/>
          <w:i/>
          <w:iCs/>
          <w:sz w:val="16"/>
          <w:szCs w:val="16"/>
        </w:rPr>
        <w:t>Recommended Electives:</w:t>
      </w:r>
    </w:p>
    <w:p w14:paraId="240F7CFE" w14:textId="492A93BE" w:rsidR="00C90199" w:rsidRPr="00C90199" w:rsidRDefault="00C90199" w:rsidP="00C90199">
      <w:pPr>
        <w:pStyle w:val="NoSpacing"/>
        <w:spacing w:before="0"/>
        <w:rPr>
          <w:i/>
          <w:iCs/>
          <w:sz w:val="16"/>
          <w:szCs w:val="16"/>
        </w:rPr>
      </w:pPr>
      <w:r w:rsidRPr="00C90199">
        <w:rPr>
          <w:i/>
          <w:iCs/>
          <w:sz w:val="16"/>
          <w:szCs w:val="16"/>
        </w:rPr>
        <w:t>CCJ1010 Introduction to Criminology, 3 crs. CCJ1020 Introduction to Criminal Justice, 3 crs. CJL2100 Criminal Law, 3 crs.</w:t>
      </w:r>
    </w:p>
    <w:p w14:paraId="490B3762" w14:textId="77777777" w:rsidR="00C90199" w:rsidRPr="00C90199" w:rsidRDefault="00C90199" w:rsidP="00C90199">
      <w:pPr>
        <w:pStyle w:val="NoSpacing"/>
        <w:spacing w:before="0"/>
        <w:rPr>
          <w:i/>
          <w:iCs/>
          <w:sz w:val="16"/>
          <w:szCs w:val="16"/>
        </w:rPr>
      </w:pPr>
      <w:r w:rsidRPr="00C90199">
        <w:rPr>
          <w:i/>
          <w:iCs/>
          <w:sz w:val="16"/>
          <w:szCs w:val="16"/>
        </w:rPr>
        <w:t>CJL2130 Evidence, 3 crs.</w:t>
      </w:r>
    </w:p>
    <w:p w14:paraId="4E587980" w14:textId="231DD0FD" w:rsidR="00C90199" w:rsidRPr="00C90199" w:rsidRDefault="00C90199" w:rsidP="00C90199">
      <w:pPr>
        <w:pStyle w:val="NoSpacing"/>
        <w:spacing w:before="0"/>
        <w:rPr>
          <w:i/>
          <w:iCs/>
          <w:sz w:val="16"/>
          <w:szCs w:val="16"/>
        </w:rPr>
      </w:pPr>
      <w:r w:rsidRPr="00C90199">
        <w:rPr>
          <w:i/>
          <w:iCs/>
          <w:sz w:val="16"/>
          <w:szCs w:val="16"/>
        </w:rPr>
        <w:t>SYG2000 Sociology or PSY2012 Psych</w:t>
      </w:r>
      <w:r w:rsidR="003D6FC7">
        <w:rPr>
          <w:i/>
          <w:iCs/>
          <w:sz w:val="16"/>
          <w:szCs w:val="16"/>
        </w:rPr>
        <w:t>.</w:t>
      </w:r>
      <w:r w:rsidRPr="00C90199">
        <w:rPr>
          <w:i/>
          <w:iCs/>
          <w:sz w:val="16"/>
          <w:szCs w:val="16"/>
        </w:rPr>
        <w:t>●, 3 cr</w:t>
      </w:r>
      <w:r w:rsidR="00036AA6">
        <w:rPr>
          <w:i/>
          <w:iCs/>
          <w:sz w:val="16"/>
          <w:szCs w:val="16"/>
        </w:rPr>
        <w:t>s.</w:t>
      </w:r>
      <w:r w:rsidRPr="00C90199">
        <w:rPr>
          <w:i/>
          <w:iCs/>
          <w:sz w:val="16"/>
          <w:szCs w:val="16"/>
        </w:rPr>
        <w:t>. CGS1570 Microcomputer Applications, 3 crs. SPN1120 First Year Spanish I, 4 crs.</w:t>
      </w:r>
    </w:p>
    <w:p w14:paraId="333A079B" w14:textId="77777777" w:rsidR="00C90199" w:rsidRPr="00C90199" w:rsidRDefault="00C90199" w:rsidP="00C90199">
      <w:pPr>
        <w:pStyle w:val="NoSpacing"/>
        <w:spacing w:before="0"/>
        <w:rPr>
          <w:i/>
          <w:iCs/>
          <w:sz w:val="16"/>
          <w:szCs w:val="16"/>
        </w:rPr>
      </w:pPr>
      <w:r w:rsidRPr="00C90199">
        <w:rPr>
          <w:i/>
          <w:iCs/>
          <w:sz w:val="16"/>
          <w:szCs w:val="16"/>
        </w:rPr>
        <w:t>SPN1121 First Year Spanish II+, 4 crs.</w:t>
      </w:r>
    </w:p>
    <w:p w14:paraId="5E813309" w14:textId="5442928F" w:rsidR="003F4A29" w:rsidRDefault="00C90199" w:rsidP="00C90199">
      <w:pPr>
        <w:pStyle w:val="NoSpacing"/>
        <w:spacing w:before="0"/>
        <w:rPr>
          <w:i/>
          <w:iCs/>
          <w:sz w:val="16"/>
          <w:szCs w:val="16"/>
        </w:rPr>
      </w:pPr>
      <w:r w:rsidRPr="00C90199">
        <w:rPr>
          <w:i/>
          <w:iCs/>
          <w:sz w:val="16"/>
          <w:szCs w:val="16"/>
        </w:rPr>
        <w:t>SPC1608 Introduction to Public Speaking, 3crs. FSU requires a Natural Science Lab, 1 credit</w:t>
      </w:r>
    </w:p>
    <w:p w14:paraId="5B02AA46" w14:textId="77777777" w:rsidR="00484595" w:rsidRPr="00C90199" w:rsidRDefault="00484595" w:rsidP="00C90199">
      <w:pPr>
        <w:pStyle w:val="NoSpacing"/>
        <w:spacing w:before="0"/>
        <w:rPr>
          <w:i/>
          <w:iCs/>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5F7DE0EB"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36AE3EE8" w14:textId="77777777" w:rsidR="007433A0" w:rsidRPr="00731888" w:rsidRDefault="007433A0" w:rsidP="00530F41">
            <w:pPr>
              <w:pStyle w:val="NoSpacing"/>
              <w:spacing w:before="0"/>
            </w:pPr>
          </w:p>
        </w:tc>
        <w:tc>
          <w:tcPr>
            <w:tcW w:w="708" w:type="dxa"/>
          </w:tcPr>
          <w:p w14:paraId="55B01762"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795080DB"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449892" w14:textId="77777777" w:rsidR="007433A0" w:rsidRPr="00731888" w:rsidRDefault="007433A0" w:rsidP="00530F41">
            <w:pPr>
              <w:pStyle w:val="NoSpacing"/>
              <w:spacing w:before="0"/>
            </w:pPr>
          </w:p>
        </w:tc>
        <w:tc>
          <w:tcPr>
            <w:tcW w:w="708" w:type="dxa"/>
          </w:tcPr>
          <w:p w14:paraId="449DEB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10DBFE89"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ADC0494" w14:textId="77777777" w:rsidR="00484595" w:rsidRPr="00731888" w:rsidRDefault="00484595" w:rsidP="00530F41">
            <w:pPr>
              <w:pStyle w:val="NoSpacing"/>
              <w:spacing w:before="0"/>
            </w:pPr>
          </w:p>
        </w:tc>
        <w:tc>
          <w:tcPr>
            <w:tcW w:w="708" w:type="dxa"/>
          </w:tcPr>
          <w:p w14:paraId="65A89EAB"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84595" w14:paraId="52D29E22"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2C07D46" w14:textId="77777777" w:rsidR="00484595" w:rsidRPr="00731888" w:rsidRDefault="00484595" w:rsidP="00530F41">
            <w:pPr>
              <w:pStyle w:val="NoSpacing"/>
              <w:spacing w:before="0"/>
            </w:pPr>
          </w:p>
        </w:tc>
        <w:tc>
          <w:tcPr>
            <w:tcW w:w="708" w:type="dxa"/>
          </w:tcPr>
          <w:p w14:paraId="0D92C66B" w14:textId="77777777" w:rsidR="00484595" w:rsidRPr="00731888" w:rsidRDefault="00484595"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4CB6C12" w14:textId="65F1ADED" w:rsidR="00B256A9" w:rsidRPr="00955979" w:rsidRDefault="00B256A9" w:rsidP="00F40A0D">
      <w:pPr>
        <w:pStyle w:val="Heading1"/>
        <w:spacing w:before="0"/>
        <w:jc w:val="center"/>
        <w:rPr>
          <w:b/>
          <w:bCs/>
          <w:sz w:val="20"/>
          <w:szCs w:val="20"/>
        </w:rPr>
      </w:pPr>
      <w:r w:rsidRPr="00955979">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5878F57A" w14:textId="7E7286AA" w:rsidR="00A202A3" w:rsidRPr="0054749E"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sectPr w:rsidR="00A202A3" w:rsidRPr="0054749E"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012B" w14:textId="77777777" w:rsidR="00CE7C0A" w:rsidRDefault="00CE7C0A" w:rsidP="00A07984">
      <w:pPr>
        <w:spacing w:before="0" w:after="0" w:line="240" w:lineRule="auto"/>
      </w:pPr>
      <w:r>
        <w:separator/>
      </w:r>
    </w:p>
  </w:endnote>
  <w:endnote w:type="continuationSeparator" w:id="0">
    <w:p w14:paraId="13EAF8B2" w14:textId="77777777" w:rsidR="00CE7C0A" w:rsidRDefault="00CE7C0A"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B9E1" w14:textId="77777777" w:rsidR="00CE7C0A" w:rsidRDefault="00CE7C0A" w:rsidP="00A07984">
      <w:pPr>
        <w:spacing w:before="0" w:after="0" w:line="240" w:lineRule="auto"/>
      </w:pPr>
      <w:r>
        <w:separator/>
      </w:r>
    </w:p>
  </w:footnote>
  <w:footnote w:type="continuationSeparator" w:id="0">
    <w:p w14:paraId="26D14178" w14:textId="77777777" w:rsidR="00CE7C0A" w:rsidRDefault="00CE7C0A"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5583CA6" w:rsidR="0053666F" w:rsidRDefault="000D77B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Legal studies</w:t>
    </w:r>
    <w:r w:rsidR="009D001D">
      <w:rPr>
        <w:rFonts w:ascii="Arial" w:hAnsi="Arial" w:cs="Arial"/>
        <w:b/>
        <w:bCs/>
        <w:color w:val="242852" w:themeColor="text2"/>
        <w:sz w:val="28"/>
        <w:szCs w:val="28"/>
      </w:rPr>
      <w:t xml:space="preserve"> option</w:t>
    </w:r>
  </w:p>
  <w:p w14:paraId="07325C91" w14:textId="7BBB2CF0"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036AA6">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36AA6"/>
    <w:rsid w:val="00043250"/>
    <w:rsid w:val="000464DA"/>
    <w:rsid w:val="0006084D"/>
    <w:rsid w:val="00081518"/>
    <w:rsid w:val="00081783"/>
    <w:rsid w:val="000965D1"/>
    <w:rsid w:val="000A42AE"/>
    <w:rsid w:val="000C0486"/>
    <w:rsid w:val="000C1C06"/>
    <w:rsid w:val="000C4916"/>
    <w:rsid w:val="000C64A4"/>
    <w:rsid w:val="000D77BD"/>
    <w:rsid w:val="000E5365"/>
    <w:rsid w:val="000E5EE0"/>
    <w:rsid w:val="00105736"/>
    <w:rsid w:val="001213D7"/>
    <w:rsid w:val="0014773B"/>
    <w:rsid w:val="00152B99"/>
    <w:rsid w:val="00156D08"/>
    <w:rsid w:val="00165A92"/>
    <w:rsid w:val="00167605"/>
    <w:rsid w:val="00185F69"/>
    <w:rsid w:val="001869ED"/>
    <w:rsid w:val="001A38EB"/>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12FC9"/>
    <w:rsid w:val="003156EF"/>
    <w:rsid w:val="003333B9"/>
    <w:rsid w:val="003450C3"/>
    <w:rsid w:val="00384D43"/>
    <w:rsid w:val="003975D0"/>
    <w:rsid w:val="003A2567"/>
    <w:rsid w:val="003B6090"/>
    <w:rsid w:val="003B6B93"/>
    <w:rsid w:val="003D6FC7"/>
    <w:rsid w:val="003E5561"/>
    <w:rsid w:val="003F46E9"/>
    <w:rsid w:val="003F4A29"/>
    <w:rsid w:val="003F7C8A"/>
    <w:rsid w:val="004415FB"/>
    <w:rsid w:val="00442A66"/>
    <w:rsid w:val="00456613"/>
    <w:rsid w:val="00457D58"/>
    <w:rsid w:val="004706DF"/>
    <w:rsid w:val="00472054"/>
    <w:rsid w:val="00480A6E"/>
    <w:rsid w:val="00484595"/>
    <w:rsid w:val="00486B84"/>
    <w:rsid w:val="00491D45"/>
    <w:rsid w:val="004B1FA8"/>
    <w:rsid w:val="004B2B8A"/>
    <w:rsid w:val="004D33F2"/>
    <w:rsid w:val="004D4ECE"/>
    <w:rsid w:val="004E6D36"/>
    <w:rsid w:val="004F33EF"/>
    <w:rsid w:val="004F65FB"/>
    <w:rsid w:val="004F7341"/>
    <w:rsid w:val="0051615F"/>
    <w:rsid w:val="0051642C"/>
    <w:rsid w:val="0052404D"/>
    <w:rsid w:val="00527CAC"/>
    <w:rsid w:val="00527F39"/>
    <w:rsid w:val="005315D1"/>
    <w:rsid w:val="0053666F"/>
    <w:rsid w:val="00541C4B"/>
    <w:rsid w:val="0054749E"/>
    <w:rsid w:val="00590BC5"/>
    <w:rsid w:val="005A6EDA"/>
    <w:rsid w:val="005B58F6"/>
    <w:rsid w:val="005C06D3"/>
    <w:rsid w:val="005E2ACD"/>
    <w:rsid w:val="005E6542"/>
    <w:rsid w:val="005F3AE5"/>
    <w:rsid w:val="00604B0F"/>
    <w:rsid w:val="006213F6"/>
    <w:rsid w:val="006216A7"/>
    <w:rsid w:val="0062599A"/>
    <w:rsid w:val="00641864"/>
    <w:rsid w:val="00666BE6"/>
    <w:rsid w:val="006670CA"/>
    <w:rsid w:val="00667723"/>
    <w:rsid w:val="006A4D5E"/>
    <w:rsid w:val="006D466A"/>
    <w:rsid w:val="006E7D15"/>
    <w:rsid w:val="006F6EB5"/>
    <w:rsid w:val="006F75C8"/>
    <w:rsid w:val="00706E7C"/>
    <w:rsid w:val="007241A0"/>
    <w:rsid w:val="007260AB"/>
    <w:rsid w:val="00726E41"/>
    <w:rsid w:val="00731888"/>
    <w:rsid w:val="007433A0"/>
    <w:rsid w:val="0076000C"/>
    <w:rsid w:val="0078376C"/>
    <w:rsid w:val="0079165C"/>
    <w:rsid w:val="007A2CBB"/>
    <w:rsid w:val="007A4A3B"/>
    <w:rsid w:val="007A4E99"/>
    <w:rsid w:val="007B544D"/>
    <w:rsid w:val="007C0D8D"/>
    <w:rsid w:val="007C4EDD"/>
    <w:rsid w:val="007C6BE4"/>
    <w:rsid w:val="007F0462"/>
    <w:rsid w:val="0080140C"/>
    <w:rsid w:val="00811F0E"/>
    <w:rsid w:val="00823434"/>
    <w:rsid w:val="008625B4"/>
    <w:rsid w:val="00872251"/>
    <w:rsid w:val="00884634"/>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7984"/>
    <w:rsid w:val="00A07A51"/>
    <w:rsid w:val="00A178F0"/>
    <w:rsid w:val="00A202A3"/>
    <w:rsid w:val="00A24F52"/>
    <w:rsid w:val="00A3381B"/>
    <w:rsid w:val="00A43A5F"/>
    <w:rsid w:val="00A442A4"/>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451B"/>
    <w:rsid w:val="00B86060"/>
    <w:rsid w:val="00BC5A65"/>
    <w:rsid w:val="00BC6AE3"/>
    <w:rsid w:val="00BF4777"/>
    <w:rsid w:val="00C00BDA"/>
    <w:rsid w:val="00C10313"/>
    <w:rsid w:val="00C202D5"/>
    <w:rsid w:val="00C20BC1"/>
    <w:rsid w:val="00C90199"/>
    <w:rsid w:val="00C945CA"/>
    <w:rsid w:val="00CA2DCD"/>
    <w:rsid w:val="00CA3B62"/>
    <w:rsid w:val="00CB20DD"/>
    <w:rsid w:val="00CB4C78"/>
    <w:rsid w:val="00CC413D"/>
    <w:rsid w:val="00CD2ADD"/>
    <w:rsid w:val="00CD58B4"/>
    <w:rsid w:val="00CE4D57"/>
    <w:rsid w:val="00CE7C0A"/>
    <w:rsid w:val="00D02795"/>
    <w:rsid w:val="00D06D13"/>
    <w:rsid w:val="00D507D6"/>
    <w:rsid w:val="00D55142"/>
    <w:rsid w:val="00D73F56"/>
    <w:rsid w:val="00DA2419"/>
    <w:rsid w:val="00DA313B"/>
    <w:rsid w:val="00DC00A3"/>
    <w:rsid w:val="00DC2804"/>
    <w:rsid w:val="00DD7143"/>
    <w:rsid w:val="00DE0ABB"/>
    <w:rsid w:val="00DE4879"/>
    <w:rsid w:val="00DF13F0"/>
    <w:rsid w:val="00E01849"/>
    <w:rsid w:val="00E02AEF"/>
    <w:rsid w:val="00E377A0"/>
    <w:rsid w:val="00E40C8D"/>
    <w:rsid w:val="00E65FD2"/>
    <w:rsid w:val="00E7063D"/>
    <w:rsid w:val="00E83523"/>
    <w:rsid w:val="00E9035C"/>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8028B"/>
    <w:rsid w:val="00F9240D"/>
    <w:rsid w:val="00FA0701"/>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12</cp:revision>
  <cp:lastPrinted>2026-02-06T13:59:00Z</cp:lastPrinted>
  <dcterms:created xsi:type="dcterms:W3CDTF">2026-02-06T14:29:00Z</dcterms:created>
  <dcterms:modified xsi:type="dcterms:W3CDTF">2026-03-25T19:28:00Z</dcterms:modified>
</cp:coreProperties>
</file>